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pPr>
        <w:ind w:left="426"/>
        <w:jc w:val="center"/>
        <w:rPr>
          <w:rFonts w:ascii="Times New Roman" w:hAnsi="Times New Roman" w:eastAsia="Times New Roman" w:cs="Times New Roman"/>
          <w:b/>
          <w:bCs/>
        </w:rPr>
      </w:pPr>
      <w:bookmarkStart w:id="1" w:name="_GoBack"/>
      <w:bookmarkEnd w:id="1"/>
      <w:r>
        <w:rPr>
          <w:rFonts w:ascii="Times New Roman" w:hAnsi="Times New Roman" w:eastAsia="Times New Roman" w:cs="Times New Roman"/>
          <w:b/>
          <w:bCs/>
        </w:rPr>
        <w:t>Извештај о раду Комисије за развој локалне заједнице за 2025 годину</w:t>
      </w:r>
    </w:p>
    <w:p w14:paraId="00000002">
      <w:pPr>
        <w:jc w:val="both"/>
        <w:rPr>
          <w:rFonts w:ascii="Times New Roman" w:hAnsi="Times New Roman" w:eastAsia="Times New Roman" w:cs="Times New Roman"/>
        </w:rPr>
      </w:pPr>
    </w:p>
    <w:p w14:paraId="00000003">
      <w:pPr>
        <w:ind w:firstLine="720"/>
        <w:jc w:val="both"/>
        <w:rPr>
          <w:rFonts w:ascii="Times New Roman" w:hAnsi="Times New Roman" w:eastAsia="Times New Roman" w:cs="Times New Roman"/>
        </w:rPr>
      </w:pPr>
      <w:r>
        <w:rPr>
          <w:rFonts w:ascii="Times New Roman" w:hAnsi="Times New Roman" w:eastAsia="Times New Roman" w:cs="Times New Roman"/>
        </w:rPr>
        <w:t>Комисија за развој локлане заједнице конституисана је првој седници, одржаној 23. јануара 2025. године, у пуном саставу од шест чланова, чиме су створени услови за њен даљи рад. Током 2025. године Комисија је одржала укупно 11 седница, у просеку по једна месечно. У раду Комисије активно су учествовали сви чланови, док је један члан био одсутан са четири седнице због привременог боравка у иностранству.</w:t>
      </w:r>
    </w:p>
    <w:p w14:paraId="00000004">
      <w:pPr>
        <w:ind w:firstLine="426"/>
        <w:jc w:val="both"/>
        <w:rPr>
          <w:rFonts w:ascii="Times New Roman" w:hAnsi="Times New Roman" w:eastAsia="Times New Roman" w:cs="Times New Roman"/>
        </w:rPr>
      </w:pPr>
      <w:r>
        <w:rPr>
          <w:rFonts w:ascii="Times New Roman" w:hAnsi="Times New Roman" w:eastAsia="Times New Roman" w:cs="Times New Roman"/>
        </w:rPr>
        <w:t>Важно је напоменути да ова Комисија није постојала у предходним сазивима Скупштине ГО Медијана, те је као новоформирано радно тело свој први задатак усмерила на изради и дефинисању сопствених стратешких докумената „</w:t>
      </w:r>
      <w:r>
        <w:rPr>
          <w:rFonts w:ascii="Times New Roman" w:hAnsi="Times New Roman" w:eastAsia="Times New Roman" w:cs="Times New Roman"/>
          <w:b/>
          <w:bCs/>
        </w:rPr>
        <w:t xml:space="preserve">Програм рада Комисије за развој локалне заједнице“ и „Смернице рада Комисије за развој локалане заједнице“. </w:t>
      </w:r>
      <w:r>
        <w:rPr>
          <w:rFonts w:ascii="Times New Roman" w:hAnsi="Times New Roman" w:eastAsia="Times New Roman" w:cs="Times New Roman"/>
          <w:b/>
          <w:bCs/>
        </w:rPr>
        <w:br w:type="textWrapping"/>
      </w:r>
      <w:r>
        <w:rPr>
          <w:rFonts w:ascii="Times New Roman" w:hAnsi="Times New Roman" w:eastAsia="Times New Roman" w:cs="Times New Roman"/>
        </w:rPr>
        <w:t>Програмом рада утврђени су циљеви Комисије, визија развоја, као и мере неопходне за унапређивање локалне заједнице. Смерницама рада утврђени су кључни проблеми на територији ГО Медијана (у област</w:t>
      </w:r>
      <w:r>
        <w:rPr>
          <w:rFonts w:ascii="Times New Roman" w:hAnsi="Times New Roman" w:eastAsia="Times New Roman" w:cs="Times New Roman"/>
          <w:lang w:val="sr-Cyrl-RS"/>
        </w:rPr>
        <w:t>и</w:t>
      </w:r>
      <w:r>
        <w:rPr>
          <w:rFonts w:ascii="Times New Roman" w:hAnsi="Times New Roman" w:eastAsia="Times New Roman" w:cs="Times New Roman"/>
        </w:rPr>
        <w:t>ма социјалне политике, образовања, спорта, културе и развоја туризама), са идејом систематског и одрживог решавања истих. Решавање је предвићено корз разраду конкретних иницијатива и непосредну реализацију истих, као и путем осмишљавања и спровођења потенцијалних пројеката, уз директну комуникацију, дискусије и састанке са ресорним већницима.</w:t>
      </w:r>
    </w:p>
    <w:p w14:paraId="00000005">
      <w:pPr>
        <w:ind w:firstLine="426"/>
        <w:jc w:val="both"/>
        <w:rPr>
          <w:rFonts w:ascii="Times New Roman" w:hAnsi="Times New Roman" w:eastAsia="Times New Roman" w:cs="Times New Roman"/>
        </w:rPr>
      </w:pPr>
      <w:r>
        <w:rPr>
          <w:rFonts w:ascii="Times New Roman" w:hAnsi="Times New Roman" w:eastAsia="Times New Roman" w:cs="Times New Roman"/>
        </w:rPr>
        <w:t>Комисија је на својим седницама аспекте развојa ГО Медијана поделила на неколико области: социјалну, комуналну, спортску, образовно-здравстену. На седницама је дискутовано о идејним решењима која су кроз иницијативе упућиване ресорним већницима на даље разматрање,  са циљем њихове евентуалне реализације. Овом приликом исказујемо захвалност општинском већу на изузетно доброј и конструктивној сарадњи, како кроз учешће већника на заједничким седницама са Комисијом, тако и кроз благовремену размену информација. Тако су на појединим седницама Комисије за развој локалне заједнице учествовали Марко Aлексовски, заменик председника ГО Медијана Ниш, Милош Бошковић, већник за комуналне делтаности и Милан Миленковић, већник задужен за спорт.</w:t>
      </w:r>
    </w:p>
    <w:p w14:paraId="00000006">
      <w:pPr>
        <w:ind w:firstLine="426"/>
        <w:jc w:val="both"/>
        <w:rPr>
          <w:rFonts w:ascii="Times New Roman" w:hAnsi="Times New Roman" w:eastAsia="Times New Roman" w:cs="Times New Roman"/>
        </w:rPr>
      </w:pPr>
      <w:r>
        <w:rPr>
          <w:rFonts w:ascii="Times New Roman" w:hAnsi="Times New Roman" w:eastAsia="Times New Roman" w:cs="Times New Roman"/>
        </w:rPr>
        <w:t>Комунална инфраструкатура на територији ГО Медијана била је једна од најбитнијих тема на којима се расправљало на седницама Коми</w:t>
      </w:r>
      <w:r>
        <w:rPr>
          <w:rFonts w:ascii="Times New Roman" w:hAnsi="Times New Roman" w:eastAsia="Times New Roman" w:cs="Times New Roman"/>
          <w:lang w:val="sr-Cyrl-RS"/>
        </w:rPr>
        <w:t>си</w:t>
      </w:r>
      <w:r>
        <w:rPr>
          <w:rFonts w:ascii="Times New Roman" w:hAnsi="Times New Roman" w:eastAsia="Times New Roman" w:cs="Times New Roman"/>
        </w:rPr>
        <w:t>је за развоје локалне заједнице. Посебна пажња посвећена је санациј</w:t>
      </w:r>
      <w:r>
        <w:rPr>
          <w:rFonts w:ascii="Times New Roman" w:hAnsi="Times New Roman" w:eastAsia="Times New Roman" w:cs="Times New Roman"/>
          <w:lang w:val="sr-Cyrl-RS"/>
        </w:rPr>
        <w:t>и</w:t>
      </w:r>
      <w:r>
        <w:rPr>
          <w:rFonts w:ascii="Times New Roman" w:hAnsi="Times New Roman" w:eastAsia="Times New Roman" w:cs="Times New Roman"/>
        </w:rPr>
        <w:t xml:space="preserve"> јавних површина, прању улица, постављању канти за смеће и  канти за отпад кућних љубимаца, поправку терена за рекреацију поред Нишаве и на Трошарини, сечењ</w:t>
      </w:r>
      <w:r>
        <w:rPr>
          <w:rFonts w:ascii="Times New Roman" w:hAnsi="Times New Roman" w:eastAsia="Times New Roman" w:cs="Times New Roman"/>
          <w:lang w:val="sr-Cyrl-RS"/>
        </w:rPr>
        <w:t>у</w:t>
      </w:r>
      <w:r>
        <w:rPr>
          <w:rFonts w:ascii="Times New Roman" w:hAnsi="Times New Roman" w:eastAsia="Times New Roman" w:cs="Times New Roman"/>
        </w:rPr>
        <w:t xml:space="preserve"> ураслог дрвећа, уређењ</w:t>
      </w:r>
      <w:r>
        <w:rPr>
          <w:rFonts w:ascii="Times New Roman" w:hAnsi="Times New Roman" w:eastAsia="Times New Roman" w:cs="Times New Roman"/>
          <w:lang w:val="sr-Cyrl-RS"/>
        </w:rPr>
        <w:t>у</w:t>
      </w:r>
      <w:r>
        <w:rPr>
          <w:rFonts w:ascii="Times New Roman" w:hAnsi="Times New Roman" w:eastAsia="Times New Roman" w:cs="Times New Roman"/>
        </w:rPr>
        <w:t xml:space="preserve"> парка „Чаир“, запуштеног зеленог појаса око Габровачке реке и железничких пруга, као и проблему осветљења бициклистичке стазе од Трошарине према насељу „Број 6“. Кроз расправу о овим проблемима Комисија је покренула иницијативу под називом </w:t>
      </w:r>
      <w:r>
        <w:rPr>
          <w:rFonts w:ascii="Times New Roman" w:hAnsi="Times New Roman" w:eastAsia="Times New Roman" w:cs="Times New Roman"/>
          <w:b/>
          <w:bCs/>
        </w:rPr>
        <w:t>„За чистију и лепшу  Медијану“</w:t>
      </w:r>
      <w:r>
        <w:rPr>
          <w:rFonts w:ascii="Times New Roman" w:hAnsi="Times New Roman" w:eastAsia="Times New Roman" w:cs="Times New Roman"/>
        </w:rPr>
        <w:t xml:space="preserve"> којом су обухваћени сви „снимљени проблеми“. Поред тога, уз сагласност већника за комуналне делатаности, у септембру 2025. године  Комисија је упутила званичан допис Дирекцији за изградњу града, са захтевом да се укључи и реши проблеме јавне расвете на територији ГО Медијана.</w:t>
      </w:r>
    </w:p>
    <w:p w14:paraId="00000007">
      <w:pPr>
        <w:ind w:firstLine="426"/>
        <w:jc w:val="both"/>
        <w:rPr>
          <w:rFonts w:ascii="Times New Roman" w:hAnsi="Times New Roman" w:eastAsia="Times New Roman" w:cs="Times New Roman"/>
        </w:rPr>
      </w:pPr>
      <w:r>
        <w:rPr>
          <w:rFonts w:ascii="Times New Roman" w:hAnsi="Times New Roman" w:eastAsia="Times New Roman" w:cs="Times New Roman"/>
        </w:rPr>
        <w:t xml:space="preserve">У оквиру расправе о спорту и рекреацији, посебно се издвојила тема рекреације радно активног становништва. Због тога је Комисија покренула две иницијатива: </w:t>
      </w:r>
      <w:r>
        <w:rPr>
          <w:rFonts w:ascii="Times New Roman" w:hAnsi="Times New Roman" w:eastAsia="Times New Roman" w:cs="Times New Roman"/>
          <w:b/>
          <w:bCs/>
        </w:rPr>
        <w:t xml:space="preserve">„Мало времене за себе“ </w:t>
      </w:r>
      <w:r>
        <w:rPr>
          <w:rFonts w:ascii="Times New Roman" w:hAnsi="Times New Roman" w:eastAsia="Times New Roman" w:cs="Times New Roman"/>
        </w:rPr>
        <w:t xml:space="preserve">и </w:t>
      </w:r>
      <w:r>
        <w:rPr>
          <w:rFonts w:ascii="Times New Roman" w:hAnsi="Times New Roman" w:eastAsia="Times New Roman" w:cs="Times New Roman"/>
          <w:b/>
          <w:bCs/>
        </w:rPr>
        <w:t xml:space="preserve">„Мини теретане“. </w:t>
      </w:r>
      <w:r>
        <w:rPr>
          <w:rFonts w:ascii="Times New Roman" w:hAnsi="Times New Roman" w:eastAsia="Times New Roman" w:cs="Times New Roman"/>
        </w:rPr>
        <w:t>Иницијативе су усвојене на седници Комисије, а потом представљене на непосредном састанку са ресорним већником, где су прихваћене са намером да буду реализоване у догледном периоду.</w:t>
      </w:r>
    </w:p>
    <w:p w14:paraId="00000008">
      <w:pPr>
        <w:ind w:firstLine="426"/>
        <w:rPr>
          <w:rFonts w:ascii="Times New Roman" w:hAnsi="Times New Roman" w:eastAsia="Times New Roman" w:cs="Times New Roman"/>
        </w:rPr>
      </w:pPr>
      <w:r>
        <w:rPr>
          <w:rFonts w:ascii="Times New Roman" w:hAnsi="Times New Roman" w:eastAsia="Times New Roman" w:cs="Times New Roman"/>
        </w:rPr>
        <w:t>Социјална питања и проблеми такође су били предмет рада Комисије за развој локалне заједнице, сматрајући их веома значајним у локалној средини. Примарни циљ Комисије је да помоћ стигне до стварних корисника социјалне помоћи, уз спречавање евентуалних злоупотреба, било од стране самих корисника било од трећих лица (родитеља или законских заступника). Због тога је Комисија осмислила неколико иницијатива, које су упућене већнику задужен</w:t>
      </w:r>
      <w:r>
        <w:rPr>
          <w:rFonts w:ascii="Times New Roman" w:hAnsi="Times New Roman" w:eastAsia="Times New Roman" w:cs="Times New Roman"/>
          <w:lang w:val="sr-Cyrl-RS"/>
        </w:rPr>
        <w:t>и</w:t>
      </w:r>
      <w:r>
        <w:rPr>
          <w:rFonts w:ascii="Times New Roman" w:hAnsi="Times New Roman" w:eastAsia="Times New Roman" w:cs="Times New Roman"/>
        </w:rPr>
        <w:t>м за социјална питања ради упознавања</w:t>
      </w:r>
      <w:r>
        <w:rPr>
          <w:rFonts w:ascii="Times New Roman" w:hAnsi="Times New Roman" w:eastAsia="Times New Roman" w:cs="Times New Roman"/>
          <w:lang w:val="sr-Cyrl-RS"/>
        </w:rPr>
        <w:t xml:space="preserve"> </w:t>
      </w:r>
      <w:r>
        <w:rPr>
          <w:rFonts w:ascii="Times New Roman" w:hAnsi="Times New Roman" w:eastAsia="Times New Roman" w:cs="Times New Roman"/>
        </w:rPr>
        <w:t>и даљег разматрања, а у овој години је планиран и заједнички састанак са ресорним већником. Као једно од могућих системских решења наметнула се и идеја развоја социјалног предузетништва, као и запошљавања лица са социјалним потребама, што је разрађено кроз више иницијатива Комисије. Покренуте су следеће иницијативе са јасно дефинисаним циљевима: „Разговор је лек“, „Медијана - тачка окупљања“</w:t>
      </w:r>
      <w:r>
        <w:rPr>
          <w:rFonts w:ascii="Times New Roman" w:hAnsi="Times New Roman" w:eastAsia="Times New Roman" w:cs="Times New Roman"/>
          <w:lang w:val="sr-Cyrl-RS"/>
        </w:rPr>
        <w:t xml:space="preserve"> </w:t>
      </w:r>
      <w:r>
        <w:rPr>
          <w:rFonts w:ascii="Times New Roman" w:hAnsi="Times New Roman" w:eastAsia="Times New Roman" w:cs="Times New Roman"/>
        </w:rPr>
        <w:t>и „Један корак ближе“.</w:t>
      </w:r>
      <w:r>
        <w:rPr>
          <w:rFonts w:ascii="Times New Roman" w:hAnsi="Times New Roman" w:eastAsia="Times New Roman" w:cs="Times New Roman"/>
        </w:rPr>
        <w:br w:type="textWrapping"/>
      </w:r>
      <w:r>
        <w:rPr>
          <w:rFonts w:ascii="Times New Roman" w:hAnsi="Times New Roman" w:eastAsia="Times New Roman" w:cs="Times New Roman"/>
        </w:rPr>
        <w:tab/>
      </w:r>
      <w:r>
        <w:rPr>
          <w:rFonts w:ascii="Times New Roman" w:hAnsi="Times New Roman" w:eastAsia="Times New Roman" w:cs="Times New Roman"/>
        </w:rPr>
        <w:t>Током 2026. године, чланови Комисије ће разамтрати и предлагати иницијативе из области културе, образовања, здравствене заштите и бриге о младима.</w:t>
      </w:r>
    </w:p>
    <w:p w14:paraId="00000009">
      <w:pPr>
        <w:ind w:firstLine="426"/>
        <w:jc w:val="both"/>
        <w:rPr>
          <w:rFonts w:ascii="Times New Roman" w:hAnsi="Times New Roman" w:eastAsia="Times New Roman" w:cs="Times New Roman"/>
        </w:rPr>
      </w:pPr>
      <w:r>
        <w:rPr>
          <w:rFonts w:ascii="Times New Roman" w:hAnsi="Times New Roman" w:eastAsia="Times New Roman" w:cs="Times New Roman"/>
        </w:rPr>
        <w:t>Седнице Комисије одржаване су једном месечно у здравој и толерантној атмосфери, уз заједничку припрему и ангажовање свих чланова за израду иницијатива покренутих током 2025. години и дефинисању дневног реда седница. На овом посвећеном раду изузетно сам захвалан свим члановима Комисије. Такође, несметаном раду Комисије за развој локалне заједнице значајан допринос пружило је овлашћено лице за административне послове, Дарко Михајловић, заједно са својим сарадником.</w:t>
      </w:r>
    </w:p>
    <w:p w14:paraId="0000000A">
      <w:pPr>
        <w:rPr>
          <w:rFonts w:ascii="Times New Roman" w:hAnsi="Times New Roman" w:eastAsia="Times New Roman" w:cs="Times New Roman"/>
        </w:rPr>
      </w:pPr>
    </w:p>
    <w:p w14:paraId="0000000B">
      <w:pPr>
        <w:rPr>
          <w:rFonts w:ascii="Times New Roman" w:hAnsi="Times New Roman" w:eastAsia="Times New Roman" w:cs="Times New Roman"/>
        </w:rPr>
      </w:pPr>
    </w:p>
    <w:p w14:paraId="0000000C">
      <w:pPr>
        <w:rPr>
          <w:rFonts w:ascii="Times New Roman" w:hAnsi="Times New Roman" w:eastAsia="Times New Roman" w:cs="Times New Roman"/>
        </w:rPr>
      </w:pPr>
    </w:p>
    <w:p w14:paraId="0000000D">
      <w:pPr>
        <w:rPr>
          <w:rFonts w:ascii="Times New Roman" w:hAnsi="Times New Roman" w:eastAsia="Times New Roman" w:cs="Times New Roman"/>
        </w:rPr>
      </w:pPr>
      <w:r>
        <w:rPr>
          <w:rFonts w:ascii="Times New Roman" w:hAnsi="Times New Roman" w:eastAsia="Times New Roman" w:cs="Times New Roman"/>
        </w:rPr>
        <w:t>У Нишу, 19.2.2026 године                                 КОМИСИЈА ЗА РАЗВОЈ ЛОКАЛНЕ ЗАЈЕДНИЦЕ</w:t>
      </w:r>
    </w:p>
    <w:p w14:paraId="0000000E">
      <w:pPr>
        <w:ind w:firstLine="426"/>
        <w:rPr>
          <w:rFonts w:ascii="Times New Roman" w:hAnsi="Times New Roman" w:eastAsia="Times New Roman" w:cs="Times New Roman"/>
          <w:b/>
          <w:bCs/>
        </w:rPr>
      </w:pPr>
      <w:bookmarkStart w:id="0" w:name="_heading=h.1outnawxelf" w:colFirst="0" w:colLast="0"/>
      <w:bookmarkEnd w:id="0"/>
      <w:r>
        <w:rPr>
          <w:rFonts w:ascii="Times New Roman" w:hAnsi="Times New Roman" w:eastAsia="Times New Roman" w:cs="Times New Roman"/>
          <w:b/>
          <w:bCs/>
        </w:rPr>
        <w:tab/>
      </w:r>
      <w:r>
        <w:rPr>
          <w:rFonts w:ascii="Times New Roman" w:hAnsi="Times New Roman" w:eastAsia="Times New Roman" w:cs="Times New Roman"/>
          <w:b/>
          <w:bCs/>
        </w:rPr>
        <w:tab/>
      </w:r>
      <w:r>
        <w:rPr>
          <w:rFonts w:ascii="Times New Roman" w:hAnsi="Times New Roman" w:eastAsia="Times New Roman" w:cs="Times New Roman"/>
          <w:b/>
          <w:bCs/>
        </w:rPr>
        <w:tab/>
      </w:r>
      <w:r>
        <w:rPr>
          <w:rFonts w:ascii="Times New Roman" w:hAnsi="Times New Roman" w:eastAsia="Times New Roman" w:cs="Times New Roman"/>
          <w:b/>
          <w:bCs/>
        </w:rPr>
        <w:tab/>
      </w:r>
      <w:r>
        <w:rPr>
          <w:rFonts w:ascii="Times New Roman" w:hAnsi="Times New Roman" w:eastAsia="Times New Roman" w:cs="Times New Roman"/>
          <w:b/>
          <w:bCs/>
        </w:rPr>
        <w:tab/>
      </w:r>
      <w:r>
        <w:rPr>
          <w:rFonts w:ascii="Times New Roman" w:hAnsi="Times New Roman" w:eastAsia="Times New Roman" w:cs="Times New Roman"/>
          <w:b/>
          <w:bCs/>
        </w:rPr>
        <w:tab/>
      </w:r>
      <w:r>
        <w:rPr>
          <w:rFonts w:ascii="Times New Roman" w:hAnsi="Times New Roman" w:eastAsia="Times New Roman" w:cs="Times New Roman"/>
          <w:b/>
          <w:bCs/>
        </w:rPr>
        <w:t>Зоран Маслаковић, председник Комисије</w:t>
      </w:r>
    </w:p>
    <w:p w14:paraId="0000000F">
      <w:pPr>
        <w:ind w:firstLine="426"/>
        <w:rPr>
          <w:rFonts w:ascii="Times New Roman" w:hAnsi="Times New Roman" w:eastAsia="Times New Roman" w:cs="Times New Roman"/>
          <w:b/>
          <w:bCs/>
        </w:rPr>
      </w:pPr>
    </w:p>
    <w:p w14:paraId="00000010">
      <w:pPr>
        <w:ind w:firstLine="426"/>
        <w:rPr>
          <w:rFonts w:ascii="Times New Roman" w:hAnsi="Times New Roman" w:eastAsia="Times New Roman" w:cs="Times New Roman"/>
          <w:b/>
          <w:bCs/>
        </w:rPr>
      </w:pPr>
      <w:r>
        <w:rPr>
          <w:rFonts w:ascii="Times New Roman" w:hAnsi="Times New Roman" w:eastAsia="Times New Roman" w:cs="Times New Roman"/>
          <w:b/>
          <w:bCs/>
        </w:rPr>
        <w:tab/>
      </w:r>
      <w:r>
        <w:rPr>
          <w:rFonts w:ascii="Times New Roman" w:hAnsi="Times New Roman" w:eastAsia="Times New Roman" w:cs="Times New Roman"/>
          <w:b/>
          <w:bCs/>
        </w:rPr>
        <w:tab/>
      </w:r>
      <w:r>
        <w:rPr>
          <w:rFonts w:ascii="Times New Roman" w:hAnsi="Times New Roman" w:eastAsia="Times New Roman" w:cs="Times New Roman"/>
          <w:b/>
          <w:bCs/>
        </w:rPr>
        <w:tab/>
      </w:r>
      <w:r>
        <w:rPr>
          <w:rFonts w:ascii="Times New Roman" w:hAnsi="Times New Roman" w:eastAsia="Times New Roman" w:cs="Times New Roman"/>
          <w:b/>
          <w:bCs/>
        </w:rPr>
        <w:tab/>
      </w:r>
      <w:r>
        <w:rPr>
          <w:rFonts w:ascii="Times New Roman" w:hAnsi="Times New Roman" w:eastAsia="Times New Roman" w:cs="Times New Roman"/>
          <w:b/>
          <w:bCs/>
        </w:rPr>
        <w:tab/>
      </w:r>
      <w:r>
        <w:rPr>
          <w:rFonts w:ascii="Times New Roman" w:hAnsi="Times New Roman" w:eastAsia="Times New Roman" w:cs="Times New Roman"/>
          <w:b/>
          <w:bCs/>
        </w:rPr>
        <w:tab/>
      </w:r>
      <w:r>
        <w:rPr>
          <w:rFonts w:ascii="Times New Roman" w:hAnsi="Times New Roman" w:eastAsia="Times New Roman" w:cs="Times New Roman"/>
          <w:b/>
          <w:bCs/>
        </w:rPr>
        <w:t>_________________________________________</w:t>
      </w:r>
    </w:p>
    <w:p w14:paraId="00000011">
      <w:pPr>
        <w:ind w:left="426"/>
      </w:pPr>
    </w:p>
    <w:p w14:paraId="00000012">
      <w:pPr>
        <w:ind w:left="426"/>
      </w:pPr>
    </w:p>
    <w:p w14:paraId="00000013">
      <w:pPr>
        <w:ind w:left="426"/>
      </w:pPr>
    </w:p>
    <w:p w14:paraId="00000014">
      <w:pPr>
        <w:ind w:left="426"/>
      </w:pPr>
    </w:p>
    <w:p w14:paraId="00000015">
      <w:pPr>
        <w:pBdr>
          <w:top w:val="none" w:color="auto" w:sz="0" w:space="0"/>
          <w:left w:val="none" w:color="auto" w:sz="0" w:space="0"/>
          <w:bottom w:val="none" w:color="auto" w:sz="0" w:space="0"/>
          <w:right w:val="none" w:color="auto" w:sz="0" w:space="0"/>
          <w:between w:val="none" w:color="auto" w:sz="0" w:space="0"/>
        </w:pBdr>
        <w:ind w:left="720"/>
        <w:rPr>
          <w:color w:val="000000"/>
        </w:rPr>
      </w:pPr>
    </w:p>
    <w:sectPr>
      <w:pgSz w:w="11906" w:h="16838"/>
      <w:pgMar w:top="1417" w:right="1417" w:bottom="1417" w:left="1417" w:header="708" w:footer="708"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BE926FE1-D473-4061-81B7-1536541CF864}"/>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4C482BC2-708F-45A2-89E6-A4DF85BF0692}"/>
  </w:font>
  <w:font w:name="Wingdings">
    <w:panose1 w:val="05000000000000000000"/>
    <w:charset w:val="02"/>
    <w:family w:val="auto"/>
    <w:pitch w:val="default"/>
    <w:sig w:usb0="00000000" w:usb1="00000000" w:usb2="00000000" w:usb3="00000000" w:csb0="80000000" w:csb1="00000000"/>
    <w:embedRegular r:id="rId3" w:fontKey="{C6B7425F-A2B6-46AE-86A4-4D04883DC09B}"/>
  </w:font>
  <w:font w:name="Calibri">
    <w:panose1 w:val="020F0502020204030204"/>
    <w:charset w:val="86"/>
    <w:family w:val="swiss"/>
    <w:pitch w:val="default"/>
    <w:sig w:usb0="E4002EFF" w:usb1="C000247B" w:usb2="00000009" w:usb3="00000000" w:csb0="200001FF" w:csb1="00000000"/>
    <w:embedRegular r:id="rId4" w:fontKey="{66A523D6-0585-44A9-8659-8274C1EF1A7B}"/>
  </w:font>
  <w:font w:name="等线">
    <w:altName w:val="Arial Unicode MS"/>
    <w:panose1 w:val="00000000000000000000"/>
    <w:charset w:val="86"/>
    <w:family w:val="auto"/>
    <w:pitch w:val="default"/>
    <w:sig w:usb0="00000000" w:usb1="00000000" w:usb2="00000000" w:usb3="00000000" w:csb0="00000000" w:csb1="00000000"/>
  </w:font>
  <w:font w:name="Georgia">
    <w:panose1 w:val="02040502050405020303"/>
    <w:charset w:val="00"/>
    <w:family w:val="roman"/>
    <w:pitch w:val="default"/>
    <w:sig w:usb0="00000287" w:usb1="00000000" w:usb2="00000000" w:usb3="00000000" w:csb0="2000009F" w:csb1="00000000"/>
    <w:embedRegular r:id="rId5" w:fontKey="{63EE1DEC-3937-48AC-9AE5-50BB9D17B316}"/>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4"/>
  </w:compat>
  <w:rsids>
    <w:rsidRoot w:val="00C27B6F"/>
    <w:rsid w:val="001B27BA"/>
    <w:rsid w:val="007D7E9C"/>
    <w:rsid w:val="00C27B6F"/>
    <w:rsid w:val="0ED957F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unhideWhenUsed="0" w:uiPriority="0" w:semiHidden="0" w:name="Normal"/>
    <w:lsdException w:qFormat="1" w:unhideWhenUsed="0" w:uiPriority="0" w:semiHidden="0" w:name="heading 1"/>
    <w:lsdException w:unhideWhenUsed="0" w:uiPriority="0" w:semiHidden="0" w:name="heading 2"/>
    <w:lsdException w:unhideWhenUsed="0" w:uiPriority="0" w:semiHidden="0" w:name="heading 3"/>
    <w:lsdException w:unhideWhenUsed="0" w:uiPriority="0" w:semiHidden="0" w:name="heading 4"/>
    <w:lsdException w:unhideWhenUsed="0" w:uiPriority="0" w:semiHidden="0" w:name="heading 5"/>
    <w:lsdException w:unhideWhenUsed="0" w:uiPriority="0"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unhideWhenUsed="0" w:uiPriority="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0"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pPr>
      <w:spacing w:after="200" w:line="276" w:lineRule="auto"/>
    </w:pPr>
    <w:rPr>
      <w:rFonts w:ascii="Calibri" w:hAnsi="Calibri" w:eastAsia="Calibri" w:cs="Calibri"/>
      <w:sz w:val="22"/>
      <w:szCs w:val="22"/>
      <w:lang w:val="sr" w:eastAsia="en-US" w:bidi="ar-SA"/>
    </w:rPr>
  </w:style>
  <w:style w:type="paragraph" w:styleId="2">
    <w:name w:val="heading 1"/>
    <w:basedOn w:val="1"/>
    <w:next w:val="1"/>
    <w:qFormat/>
    <w:uiPriority w:val="0"/>
    <w:pPr>
      <w:keepNext/>
      <w:keepLines/>
      <w:spacing w:before="480" w:after="120"/>
      <w:outlineLvl w:val="0"/>
    </w:pPr>
    <w:rPr>
      <w:b/>
      <w:bCs/>
      <w:sz w:val="48"/>
      <w:szCs w:val="48"/>
    </w:rPr>
  </w:style>
  <w:style w:type="paragraph" w:styleId="3">
    <w:name w:val="heading 2"/>
    <w:basedOn w:val="1"/>
    <w:next w:val="1"/>
    <w:uiPriority w:val="0"/>
    <w:pPr>
      <w:keepNext/>
      <w:keepLines/>
      <w:spacing w:before="360" w:after="80"/>
      <w:outlineLvl w:val="1"/>
    </w:pPr>
    <w:rPr>
      <w:b/>
      <w:bCs/>
      <w:sz w:val="36"/>
      <w:szCs w:val="36"/>
    </w:rPr>
  </w:style>
  <w:style w:type="paragraph" w:styleId="4">
    <w:name w:val="heading 3"/>
    <w:basedOn w:val="1"/>
    <w:next w:val="1"/>
    <w:uiPriority w:val="0"/>
    <w:pPr>
      <w:keepNext/>
      <w:keepLines/>
      <w:spacing w:before="280" w:after="80"/>
      <w:outlineLvl w:val="2"/>
    </w:pPr>
    <w:rPr>
      <w:b/>
      <w:bCs/>
      <w:sz w:val="28"/>
      <w:szCs w:val="28"/>
    </w:rPr>
  </w:style>
  <w:style w:type="paragraph" w:styleId="5">
    <w:name w:val="heading 4"/>
    <w:basedOn w:val="1"/>
    <w:next w:val="1"/>
    <w:uiPriority w:val="0"/>
    <w:pPr>
      <w:keepNext/>
      <w:keepLines/>
      <w:spacing w:before="240" w:after="40"/>
      <w:outlineLvl w:val="3"/>
    </w:pPr>
    <w:rPr>
      <w:b/>
      <w:bCs/>
      <w:sz w:val="24"/>
      <w:szCs w:val="24"/>
    </w:rPr>
  </w:style>
  <w:style w:type="paragraph" w:styleId="6">
    <w:name w:val="heading 5"/>
    <w:basedOn w:val="1"/>
    <w:next w:val="1"/>
    <w:uiPriority w:val="0"/>
    <w:pPr>
      <w:keepNext/>
      <w:keepLines/>
      <w:spacing w:before="220" w:after="40"/>
      <w:outlineLvl w:val="4"/>
    </w:pPr>
    <w:rPr>
      <w:b/>
      <w:bCs/>
    </w:rPr>
  </w:style>
  <w:style w:type="paragraph" w:styleId="7">
    <w:name w:val="heading 6"/>
    <w:basedOn w:val="1"/>
    <w:next w:val="1"/>
    <w:uiPriority w:val="0"/>
    <w:pPr>
      <w:keepNext/>
      <w:keepLines/>
      <w:spacing w:before="200" w:after="40"/>
      <w:outlineLvl w:val="5"/>
    </w:pPr>
    <w:rPr>
      <w:b/>
      <w:bCs/>
      <w:sz w:val="20"/>
      <w:szCs w:val="20"/>
    </w:rPr>
  </w:style>
  <w:style w:type="character" w:default="1" w:styleId="8">
    <w:name w:val="Default Paragraph Font"/>
    <w:semiHidden/>
    <w:unhideWhenUsed/>
    <w:uiPriority w:val="1"/>
  </w:style>
  <w:style w:type="table" w:default="1" w:styleId="9">
    <w:name w:val="Normal Table"/>
    <w:semiHidden/>
    <w:unhideWhenUsed/>
    <w:uiPriority w:val="99"/>
    <w:tblPr>
      <w:tblCellMar>
        <w:top w:w="0" w:type="dxa"/>
        <w:left w:w="108" w:type="dxa"/>
        <w:bottom w:w="0" w:type="dxa"/>
        <w:right w:w="108" w:type="dxa"/>
      </w:tblCellMar>
    </w:tblPr>
  </w:style>
  <w:style w:type="paragraph" w:styleId="10">
    <w:name w:val="Subtitle"/>
    <w:basedOn w:val="1"/>
    <w:next w:val="1"/>
    <w:uiPriority w:val="0"/>
    <w:pPr>
      <w:keepNext/>
      <w:keepLines/>
      <w:spacing w:before="360" w:after="80"/>
    </w:pPr>
    <w:rPr>
      <w:rFonts w:ascii="Georgia" w:hAnsi="Georgia" w:eastAsia="Georgia" w:cs="Georgia"/>
      <w:i/>
      <w:iCs/>
      <w:color w:val="666666"/>
      <w:sz w:val="48"/>
      <w:szCs w:val="48"/>
    </w:rPr>
  </w:style>
  <w:style w:type="paragraph" w:styleId="11">
    <w:name w:val="Title"/>
    <w:basedOn w:val="1"/>
    <w:next w:val="1"/>
    <w:uiPriority w:val="0"/>
    <w:pPr>
      <w:keepNext/>
      <w:keepLines/>
      <w:spacing w:before="480" w:after="120"/>
    </w:pPr>
    <w:rPr>
      <w:b/>
      <w:bCs/>
      <w:sz w:val="72"/>
      <w:szCs w:val="72"/>
    </w:rPr>
  </w:style>
  <w:style w:type="table" w:customStyle="1" w:styleId="12">
    <w:name w:val="TableNormal"/>
    <w:uiPriority w:val="0"/>
    <w:tblPr>
      <w:tblCellMar>
        <w:top w:w="100" w:type="dxa"/>
        <w:left w:w="100" w:type="dxa"/>
        <w:bottom w:w="100" w:type="dxa"/>
        <w:right w:w="100" w:type="dxa"/>
      </w:tblCellMar>
    </w:tblPr>
  </w:style>
  <w:style w:type="paragraph" w:styleId="13">
    <w:name w:val="List Paragraph"/>
    <w:basedOn w:val="1"/>
    <w:qFormat/>
    <w:uiPriority w:val="34"/>
    <w:pPr>
      <w:ind w:left="720"/>
      <w:contextualSpacing/>
    </w:p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5ekYTqmz2DYb9oXUTLNnZBgWGPA==">CgMxLjAyDWguMW91dG5hd3hlbGY4AHIhMWNfTW9rZXdVU1pGM1lCVWFzTFVsZ0w0ZWdkRVRROGhB</go:docsCustomData>
</go:gDocsCustomXmlDataStorage>
</file>

<file path=customXml/itemProps1.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Template>Normal</Template>
  <Pages>2</Pages>
  <Words>760</Words>
  <Characters>4332</Characters>
  <Lines>36</Lines>
  <Paragraphs>10</Paragraphs>
  <TotalTime>0</TotalTime>
  <ScaleCrop>false</ScaleCrop>
  <LinksUpToDate>false</LinksUpToDate>
  <CharactersWithSpaces>5082</CharactersWithSpaces>
  <Application>WPS Office_12.2.0.23196_F1E327BC-269C-435d-A152-05C5408002CA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2026-02-19T14:53:00Z</dcterms:created>
  <dc:creator>Zoran Maslaković</dc:creator>
  <cp:lastModifiedBy>grujovic.miodrag</cp:lastModifiedBy>
  <cp:lastPrinted>2026-02-19T13:28:00Z</cp:lastPrinted>
  <dcterms:modified xsi:type="dcterms:W3CDTF">2026-02-20T09:50:16Z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1033-12.2.0.23196</vt:lpwstr>
  </property>
  <property fmtid="{D5CDD505-2E9C-101B-9397-08002B2CF9AE}" pid="3" name="ICV">
    <vt:lpwstr>60AE38C8FBD84F1EB02E33A0523F8CA0_13</vt:lpwstr>
  </property>
</Properties>
</file>